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1FA" w:rsidRDefault="009311FA" w:rsidP="008F1462">
      <w:pPr>
        <w:pStyle w:val="Heading1"/>
      </w:pPr>
      <w:r>
        <w:t>Maximum Density</w:t>
      </w:r>
      <w:r w:rsidR="00B17D15">
        <w:t xml:space="preserve"> (legal perspective)</w:t>
      </w:r>
      <w:r w:rsidR="00087FA8">
        <w:rPr>
          <w:rStyle w:val="FootnoteReference"/>
        </w:rPr>
        <w:footnoteReference w:id="1"/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term maximum density is used to describe a tree density threshold, above which the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licensee responsible for an opening is obligated to conduct a juvenile spacing treatment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prior to declaring a stand free growing.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term repression level, as used in early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silviculture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prescriptions, has the same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meaning as our current definition of maximum density.</w:t>
      </w:r>
    </w:p>
    <w:p w:rsidR="009311FA" w:rsidRDefault="009311FA" w:rsidP="008F1462">
      <w:pPr>
        <w:pStyle w:val="Heading3"/>
      </w:pPr>
      <w:r>
        <w:t>Forest Practices Code (FPC) era Opening: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Density levels must be controlled as per the densities prescribed in the approved SP or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PHSP. If the SP or PHSP does not state a maximum density or repression level, default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densities would apply, as described below. For Woodlot Licensees, the maximum density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thresholds are outlined in WLFMR sec 78(7) – which parallel the approach listed below.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If the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silviculture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prescription was approved on or after April 1, 1994, and the number of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countable conifers per hectare exceeds 10 000 or a number specified by the regional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manager, prior to the free growing date, the number of conifers must be reduced to within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range 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pecified in the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silviculture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plan or prescription.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For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silviculture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prescriptions or site plans approved before April 1, 1994, that state a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maximum density or repression level, spacing is required if the density of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lodgepole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pine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drybelt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Douglas-fir exceeds 10 000 per hectare or a number specified by the district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manager.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Maximum density thresholds have been change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by the Regional Managers of the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former </w:t>
      </w:r>
      <w:r>
        <w:rPr>
          <w:rFonts w:ascii="Times New Roman" w:hAnsi="Times New Roman" w:cs="Times New Roman"/>
          <w:color w:val="000000"/>
          <w:sz w:val="24"/>
          <w:szCs w:val="24"/>
        </w:rPr>
        <w:t>northern and southern interior:</w:t>
      </w:r>
    </w:p>
    <w:p w:rsidR="008F1462" w:rsidRDefault="009311FA" w:rsidP="009311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F1462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8F1462">
        <w:rPr>
          <w:rFonts w:ascii="Times New Roman" w:hAnsi="Times New Roman" w:cs="Times New Roman"/>
          <w:color w:val="0000FF"/>
          <w:sz w:val="24"/>
          <w:szCs w:val="24"/>
        </w:rPr>
        <w:t xml:space="preserve">Northern </w:t>
      </w:r>
      <w:r w:rsidRPr="008F1462">
        <w:rPr>
          <w:rFonts w:ascii="Times New Roman" w:hAnsi="Times New Roman" w:cs="Times New Roman"/>
          <w:color w:val="000000"/>
          <w:sz w:val="24"/>
          <w:szCs w:val="24"/>
        </w:rPr>
        <w:t>Interior Forest Region, in August of 2007, redefined the thresholds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1462">
        <w:rPr>
          <w:rFonts w:ascii="Times New Roman" w:hAnsi="Times New Roman" w:cs="Times New Roman"/>
          <w:color w:val="000000"/>
          <w:sz w:val="24"/>
          <w:szCs w:val="24"/>
        </w:rPr>
        <w:t>for the maximum density juvenile spacing obligation by a licence to:</w:t>
      </w:r>
    </w:p>
    <w:p w:rsidR="008F1462" w:rsidRDefault="009311FA" w:rsidP="009311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F1462">
        <w:rPr>
          <w:rFonts w:ascii="Times New Roman" w:hAnsi="Times New Roman" w:cs="Times New Roman"/>
          <w:color w:val="000000"/>
          <w:sz w:val="24"/>
          <w:szCs w:val="24"/>
        </w:rPr>
        <w:t xml:space="preserve">20,000 countable conifers per hectare where </w:t>
      </w:r>
      <w:proofErr w:type="spellStart"/>
      <w:r w:rsidRPr="008F1462">
        <w:rPr>
          <w:rFonts w:ascii="Times New Roman" w:hAnsi="Times New Roman" w:cs="Times New Roman"/>
          <w:color w:val="000000"/>
          <w:sz w:val="24"/>
          <w:szCs w:val="24"/>
        </w:rPr>
        <w:t>lodgepole</w:t>
      </w:r>
      <w:proofErr w:type="spellEnd"/>
      <w:r w:rsidRPr="008F1462">
        <w:rPr>
          <w:rFonts w:ascii="Times New Roman" w:hAnsi="Times New Roman" w:cs="Times New Roman"/>
          <w:color w:val="000000"/>
          <w:sz w:val="24"/>
          <w:szCs w:val="24"/>
        </w:rPr>
        <w:t xml:space="preserve"> pine is &gt;80 in the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1462">
        <w:rPr>
          <w:rFonts w:ascii="Times New Roman" w:hAnsi="Times New Roman" w:cs="Times New Roman"/>
          <w:color w:val="000000"/>
          <w:sz w:val="24"/>
          <w:szCs w:val="24"/>
        </w:rPr>
        <w:t>inventory label,</w:t>
      </w:r>
    </w:p>
    <w:p w:rsidR="00804982" w:rsidRPr="008F1462" w:rsidRDefault="009311FA" w:rsidP="008F146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1434" w:hanging="357"/>
        <w:rPr>
          <w:rFonts w:ascii="Times New Roman" w:hAnsi="Times New Roman" w:cs="Times New Roman"/>
          <w:color w:val="000000"/>
          <w:sz w:val="24"/>
          <w:szCs w:val="24"/>
        </w:rPr>
      </w:pPr>
      <w:r w:rsidRPr="008F1462">
        <w:rPr>
          <w:rFonts w:ascii="Times New Roman" w:hAnsi="Times New Roman" w:cs="Times New Roman"/>
          <w:color w:val="000000"/>
          <w:sz w:val="24"/>
          <w:szCs w:val="24"/>
        </w:rPr>
        <w:t>10,000 countable conifers per hectare all others</w:t>
      </w:r>
    </w:p>
    <w:p w:rsidR="008F1462" w:rsidRDefault="009311FA" w:rsidP="009311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F1462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8F1462">
        <w:rPr>
          <w:rFonts w:ascii="Times New Roman" w:hAnsi="Times New Roman" w:cs="Times New Roman"/>
          <w:color w:val="0000FF"/>
          <w:sz w:val="24"/>
          <w:szCs w:val="24"/>
        </w:rPr>
        <w:t xml:space="preserve">Southern </w:t>
      </w:r>
      <w:r w:rsidRPr="008F1462">
        <w:rPr>
          <w:rFonts w:ascii="Times New Roman" w:hAnsi="Times New Roman" w:cs="Times New Roman"/>
          <w:color w:val="000000"/>
          <w:sz w:val="24"/>
          <w:szCs w:val="24"/>
        </w:rPr>
        <w:t>Interior Forest Region, in February 2006, redefined the thresholds for</w:t>
      </w:r>
      <w:r w:rsidR="008F1462" w:rsidRP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1462">
        <w:rPr>
          <w:rFonts w:ascii="Times New Roman" w:hAnsi="Times New Roman" w:cs="Times New Roman"/>
          <w:color w:val="000000"/>
          <w:sz w:val="24"/>
          <w:szCs w:val="24"/>
        </w:rPr>
        <w:t>the maximum density juvenile spacing obligation by a licence to:</w:t>
      </w:r>
    </w:p>
    <w:p w:rsidR="008F1462" w:rsidRDefault="009311FA" w:rsidP="009311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F1462">
        <w:rPr>
          <w:rFonts w:ascii="Times New Roman" w:hAnsi="Times New Roman" w:cs="Times New Roman"/>
          <w:color w:val="000000"/>
          <w:sz w:val="24"/>
          <w:szCs w:val="24"/>
        </w:rPr>
        <w:t xml:space="preserve">25,000 countable conifers per hectare where </w:t>
      </w:r>
      <w:proofErr w:type="spellStart"/>
      <w:r w:rsidRPr="008F1462">
        <w:rPr>
          <w:rFonts w:ascii="Times New Roman" w:hAnsi="Times New Roman" w:cs="Times New Roman"/>
          <w:color w:val="000000"/>
          <w:sz w:val="24"/>
          <w:szCs w:val="24"/>
        </w:rPr>
        <w:t>lodgepole</w:t>
      </w:r>
      <w:proofErr w:type="spellEnd"/>
      <w:r w:rsidRPr="008F1462">
        <w:rPr>
          <w:rFonts w:ascii="Times New Roman" w:hAnsi="Times New Roman" w:cs="Times New Roman"/>
          <w:color w:val="000000"/>
          <w:sz w:val="24"/>
          <w:szCs w:val="24"/>
        </w:rPr>
        <w:t xml:space="preserve"> pine is &gt;80 in the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1462">
        <w:rPr>
          <w:rFonts w:ascii="Times New Roman" w:hAnsi="Times New Roman" w:cs="Times New Roman"/>
          <w:color w:val="000000"/>
          <w:sz w:val="24"/>
          <w:szCs w:val="24"/>
        </w:rPr>
        <w:t>inventory label,</w:t>
      </w:r>
    </w:p>
    <w:p w:rsidR="009311FA" w:rsidRPr="008F1462" w:rsidRDefault="009311FA" w:rsidP="008F146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120" w:line="240" w:lineRule="auto"/>
        <w:ind w:left="1434" w:hanging="357"/>
        <w:rPr>
          <w:rFonts w:ascii="Times New Roman" w:hAnsi="Times New Roman" w:cs="Times New Roman"/>
          <w:color w:val="000000"/>
          <w:sz w:val="24"/>
          <w:szCs w:val="24"/>
        </w:rPr>
      </w:pPr>
      <w:r w:rsidRPr="008F1462">
        <w:rPr>
          <w:rFonts w:ascii="Times New Roman" w:hAnsi="Times New Roman" w:cs="Times New Roman"/>
          <w:color w:val="000000"/>
          <w:sz w:val="24"/>
          <w:szCs w:val="24"/>
        </w:rPr>
        <w:t>10,000 countable conifers per hectare all others.</w:t>
      </w:r>
    </w:p>
    <w:p w:rsidR="009311FA" w:rsidRDefault="009311FA" w:rsidP="008F1462">
      <w:pPr>
        <w:pStyle w:val="Heading3"/>
      </w:pPr>
      <w:r>
        <w:t>Forest and Range Practices Act (FRPA) era Opening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For those areas managed under a FSP or WLP, maximum density levels approved within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 plan will apply. If a FSP or WLP does not have a stated maximum density, then there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is no default maximum density that applies.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For areas harvested after January 31, 2004, under a FSP and areas where the FSP has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specified that FRPA FSP stocking standards apply, the responsibility to conduct juvenile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spacing treatments will depend on the contents of the plan itself.</w:t>
      </w:r>
    </w:p>
    <w:p w:rsidR="009311FA" w:rsidRDefault="009311FA" w:rsidP="008F1462">
      <w:pPr>
        <w:pStyle w:val="Heading2"/>
      </w:pPr>
      <w:r>
        <w:lastRenderedPageBreak/>
        <w:t>Countable conifers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When determining if the total number of conifer trees (TC) exceeds </w:t>
      </w:r>
      <w:r>
        <w:rPr>
          <w:rFonts w:ascii="Times New Roman" w:hAnsi="Times New Roman" w:cs="Times New Roman"/>
          <w:color w:val="0000FF"/>
          <w:sz w:val="24"/>
          <w:szCs w:val="24"/>
        </w:rPr>
        <w:t>maximum density</w:t>
      </w:r>
      <w:r>
        <w:rPr>
          <w:rFonts w:ascii="Times New Roman" w:hAnsi="Times New Roman" w:cs="Times New Roman"/>
          <w:color w:val="000000"/>
          <w:sz w:val="24"/>
          <w:szCs w:val="24"/>
        </w:rPr>
        <w:t>, an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understanding of countable conifers is required.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On areas where the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number of countable conifers are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well below the maximum density, it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would be irrelevant to collect countable conifer data. Since this data can be time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consuming to collect, you may wish to discuss not collecting this data in these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circumstances with the district manager. Some districts have issued letters providing this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advice.</w:t>
      </w:r>
    </w:p>
    <w:p w:rsidR="009311FA" w:rsidRDefault="009311FA" w:rsidP="008F146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following methodology steps are used for determining the number of countable</w:t>
      </w:r>
      <w:r w:rsidR="008F14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conifers:</w:t>
      </w:r>
    </w:p>
    <w:p w:rsidR="009311FA" w:rsidRDefault="009311FA" w:rsidP="009311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For even aged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silviculture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systems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311FA" w:rsidRPr="003D4541" w:rsidRDefault="009311FA" w:rsidP="009311F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Determine the median height (explained in section 3.4.2.2.1) of the </w:t>
      </w:r>
      <w:r w:rsidRPr="003D4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well spaced</w:t>
      </w:r>
      <w:r w:rsidR="003D4541" w:rsidRPr="003D4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D4541">
        <w:rPr>
          <w:rFonts w:ascii="Times New Roman" w:hAnsi="Times New Roman" w:cs="Times New Roman"/>
          <w:color w:val="000000"/>
          <w:sz w:val="24"/>
          <w:szCs w:val="24"/>
        </w:rPr>
        <w:t>trees in the plot. The surveyor should tally the tallest well spaced trees. It is not</w:t>
      </w:r>
      <w:r w:rsidR="003D45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required and can be detrimental to tally more well spaced trees than the M </w:t>
      </w:r>
      <w:proofErr w:type="gramStart"/>
      <w:r w:rsidRPr="003D4541">
        <w:rPr>
          <w:rFonts w:ascii="Times New Roman" w:hAnsi="Times New Roman" w:cs="Times New Roman"/>
          <w:color w:val="000000"/>
          <w:sz w:val="24"/>
          <w:szCs w:val="24"/>
        </w:rPr>
        <w:t>value .</w:t>
      </w:r>
      <w:proofErr w:type="gramEnd"/>
    </w:p>
    <w:p w:rsidR="009311FA" w:rsidRPr="003D4541" w:rsidRDefault="009311FA" w:rsidP="003D454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D4541">
        <w:rPr>
          <w:rFonts w:ascii="Times New Roman" w:hAnsi="Times New Roman" w:cs="Times New Roman"/>
          <w:color w:val="000000"/>
          <w:sz w:val="24"/>
          <w:szCs w:val="24"/>
        </w:rPr>
        <w:t>Where the median height is:</w:t>
      </w:r>
    </w:p>
    <w:p w:rsidR="009311FA" w:rsidRPr="003D4541" w:rsidRDefault="009311FA" w:rsidP="003D454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D4541">
        <w:rPr>
          <w:rFonts w:ascii="Symbol" w:hAnsi="Symbol" w:cs="Symbol"/>
          <w:color w:val="000000"/>
          <w:sz w:val="24"/>
          <w:szCs w:val="24"/>
        </w:rPr>
        <w:t></w:t>
      </w:r>
      <w:r w:rsidRPr="003D4541">
        <w:rPr>
          <w:rFonts w:ascii="Times New Roman" w:hAnsi="Times New Roman" w:cs="Times New Roman"/>
          <w:color w:val="000000"/>
          <w:sz w:val="24"/>
          <w:szCs w:val="24"/>
        </w:rPr>
        <w:t>≤2 m.,</w:t>
      </w:r>
    </w:p>
    <w:p w:rsidR="009311FA" w:rsidRPr="003D4541" w:rsidRDefault="009311FA" w:rsidP="009311FA">
      <w:pPr>
        <w:pStyle w:val="ListParagraph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418" w:hanging="284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D4541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gramEnd"/>
      <w:r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 countable height is 30% times the median height as determined</w:t>
      </w:r>
      <w:r w:rsidR="003D45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4541">
        <w:rPr>
          <w:rFonts w:ascii="Times New Roman" w:hAnsi="Times New Roman" w:cs="Times New Roman"/>
          <w:color w:val="000000"/>
          <w:sz w:val="24"/>
          <w:szCs w:val="24"/>
        </w:rPr>
        <w:t>in step 1.</w:t>
      </w:r>
    </w:p>
    <w:p w:rsidR="009311FA" w:rsidRPr="003D4541" w:rsidRDefault="009311FA" w:rsidP="003D454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D4541">
        <w:rPr>
          <w:rFonts w:ascii="Symbol" w:hAnsi="Symbol" w:cs="Symbol"/>
          <w:color w:val="000000"/>
          <w:sz w:val="24"/>
          <w:szCs w:val="24"/>
        </w:rPr>
        <w:t></w:t>
      </w:r>
      <w:r w:rsidRPr="003D4541">
        <w:rPr>
          <w:rFonts w:ascii="Times New Roman" w:hAnsi="Times New Roman" w:cs="Times New Roman"/>
          <w:color w:val="000000"/>
          <w:sz w:val="24"/>
          <w:szCs w:val="24"/>
        </w:rPr>
        <w:t>&gt;2 m.,</w:t>
      </w:r>
    </w:p>
    <w:p w:rsidR="009311FA" w:rsidRPr="003D4541" w:rsidRDefault="003D4541" w:rsidP="009311FA">
      <w:pPr>
        <w:pStyle w:val="ListParagraph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418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3D4541">
        <w:rPr>
          <w:rFonts w:ascii="Wingdings" w:hAnsi="Wingdings" w:cs="Wingdings"/>
          <w:color w:val="000000"/>
          <w:sz w:val="24"/>
          <w:szCs w:val="24"/>
        </w:rPr>
        <w:tab/>
      </w:r>
      <w:proofErr w:type="gramStart"/>
      <w:r w:rsidR="009311FA" w:rsidRPr="003D4541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gramEnd"/>
      <w:r w:rsidR="009311FA"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 countable height is 50% times the median height as determined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11FA" w:rsidRPr="003D4541">
        <w:rPr>
          <w:rFonts w:ascii="Times New Roman" w:hAnsi="Times New Roman" w:cs="Times New Roman"/>
          <w:color w:val="000000"/>
          <w:sz w:val="24"/>
          <w:szCs w:val="24"/>
        </w:rPr>
        <w:t>in step 1.</w:t>
      </w:r>
    </w:p>
    <w:p w:rsidR="009311FA" w:rsidRPr="003D4541" w:rsidRDefault="009311FA" w:rsidP="003D454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D4541">
        <w:rPr>
          <w:rFonts w:ascii="Times New Roman" w:hAnsi="Times New Roman" w:cs="Times New Roman"/>
          <w:color w:val="000000"/>
          <w:sz w:val="24"/>
          <w:szCs w:val="24"/>
        </w:rPr>
        <w:t>Countable conifers are either:</w:t>
      </w:r>
    </w:p>
    <w:p w:rsidR="009311FA" w:rsidRPr="003D4541" w:rsidRDefault="009311FA" w:rsidP="009311FA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 w:hanging="27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All the </w:t>
      </w:r>
      <w:proofErr w:type="spellStart"/>
      <w:r w:rsidRPr="003D4541">
        <w:rPr>
          <w:rFonts w:ascii="Times New Roman" w:hAnsi="Times New Roman" w:cs="Times New Roman"/>
          <w:color w:val="000000"/>
          <w:sz w:val="24"/>
          <w:szCs w:val="24"/>
        </w:rPr>
        <w:t>lodgepole</w:t>
      </w:r>
      <w:proofErr w:type="spellEnd"/>
      <w:r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 pine or </w:t>
      </w:r>
      <w:proofErr w:type="spellStart"/>
      <w:r w:rsidRPr="003D4541">
        <w:rPr>
          <w:rFonts w:ascii="Times New Roman" w:hAnsi="Times New Roman" w:cs="Times New Roman"/>
          <w:color w:val="000000"/>
          <w:sz w:val="24"/>
          <w:szCs w:val="24"/>
        </w:rPr>
        <w:t>drybelt</w:t>
      </w:r>
      <w:proofErr w:type="spellEnd"/>
      <w:r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 Douglas-fir above the countable size</w:t>
      </w:r>
      <w:r w:rsidR="003D4541"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calculated in step 2 for all those </w:t>
      </w:r>
      <w:proofErr w:type="spellStart"/>
      <w:r w:rsidRPr="003D4541">
        <w:rPr>
          <w:rFonts w:ascii="Times New Roman" w:hAnsi="Times New Roman" w:cs="Times New Roman"/>
          <w:color w:val="000000"/>
          <w:sz w:val="24"/>
          <w:szCs w:val="24"/>
        </w:rPr>
        <w:t>silviculture</w:t>
      </w:r>
      <w:proofErr w:type="spellEnd"/>
      <w:r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 prescriptions or site plans</w:t>
      </w:r>
      <w:r w:rsidR="003D45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D4541">
        <w:rPr>
          <w:rFonts w:ascii="Times New Roman" w:hAnsi="Times New Roman" w:cs="Times New Roman"/>
          <w:color w:val="000000"/>
          <w:sz w:val="24"/>
          <w:szCs w:val="24"/>
        </w:rPr>
        <w:t xml:space="preserve">approved before April 1, 1994, </w:t>
      </w:r>
      <w:r w:rsidRPr="003D45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or</w:t>
      </w:r>
    </w:p>
    <w:p w:rsidR="00B82CF6" w:rsidRPr="003D4541" w:rsidRDefault="00B82CF6" w:rsidP="00B82CF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3" w:hanging="273"/>
        <w:rPr>
          <w:rFonts w:ascii="Times New Roman" w:hAnsi="Times New Roman" w:cs="Times New Roman"/>
          <w:b/>
          <w:bCs/>
          <w:sz w:val="24"/>
          <w:szCs w:val="24"/>
        </w:rPr>
      </w:pPr>
      <w:r w:rsidRPr="003D4541">
        <w:rPr>
          <w:rFonts w:ascii="Times New Roman" w:hAnsi="Times New Roman" w:cs="Times New Roman"/>
          <w:sz w:val="24"/>
          <w:szCs w:val="24"/>
        </w:rPr>
        <w:t>All conifers taller than the countable size calculated in step 2, for all</w:t>
      </w:r>
      <w:r w:rsidR="003D4541" w:rsidRPr="003D4541">
        <w:rPr>
          <w:rFonts w:ascii="Times New Roman" w:hAnsi="Times New Roman" w:cs="Times New Roman"/>
          <w:sz w:val="24"/>
          <w:szCs w:val="24"/>
        </w:rPr>
        <w:t xml:space="preserve"> </w:t>
      </w:r>
      <w:r w:rsidRPr="003D4541">
        <w:rPr>
          <w:rFonts w:ascii="Times New Roman" w:hAnsi="Times New Roman" w:cs="Times New Roman"/>
          <w:sz w:val="24"/>
          <w:szCs w:val="24"/>
        </w:rPr>
        <w:t xml:space="preserve">those </w:t>
      </w:r>
      <w:proofErr w:type="spellStart"/>
      <w:r w:rsidRPr="003D4541">
        <w:rPr>
          <w:rFonts w:ascii="Times New Roman" w:hAnsi="Times New Roman" w:cs="Times New Roman"/>
          <w:sz w:val="24"/>
          <w:szCs w:val="24"/>
        </w:rPr>
        <w:t>silviculture</w:t>
      </w:r>
      <w:proofErr w:type="spellEnd"/>
      <w:r w:rsidRPr="003D4541">
        <w:rPr>
          <w:rFonts w:ascii="Times New Roman" w:hAnsi="Times New Roman" w:cs="Times New Roman"/>
          <w:sz w:val="24"/>
          <w:szCs w:val="24"/>
        </w:rPr>
        <w:t xml:space="preserve"> prescriptions or site plans approved after April 1,</w:t>
      </w:r>
      <w:r w:rsidR="003D4541">
        <w:rPr>
          <w:rFonts w:ascii="Times New Roman" w:hAnsi="Times New Roman" w:cs="Times New Roman"/>
          <w:sz w:val="24"/>
          <w:szCs w:val="24"/>
        </w:rPr>
        <w:t xml:space="preserve"> </w:t>
      </w:r>
      <w:r w:rsidRPr="003D4541">
        <w:rPr>
          <w:rFonts w:ascii="Times New Roman" w:hAnsi="Times New Roman" w:cs="Times New Roman"/>
          <w:sz w:val="24"/>
          <w:szCs w:val="24"/>
        </w:rPr>
        <w:t xml:space="preserve">1994, but not under a Forest Stewardship Plan, </w:t>
      </w:r>
      <w:r w:rsidRPr="003D4541">
        <w:rPr>
          <w:rFonts w:ascii="Times New Roman" w:hAnsi="Times New Roman" w:cs="Times New Roman"/>
          <w:b/>
          <w:bCs/>
          <w:sz w:val="24"/>
          <w:szCs w:val="24"/>
        </w:rPr>
        <w:t>or</w:t>
      </w:r>
    </w:p>
    <w:p w:rsidR="003D4541" w:rsidRDefault="00B82CF6" w:rsidP="00B82CF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134" w:hanging="414"/>
        <w:rPr>
          <w:rFonts w:ascii="Times New Roman" w:hAnsi="Times New Roman" w:cs="Times New Roman"/>
          <w:sz w:val="24"/>
          <w:szCs w:val="24"/>
        </w:rPr>
      </w:pPr>
      <w:r w:rsidRPr="003D4541">
        <w:rPr>
          <w:rFonts w:ascii="Times New Roman" w:hAnsi="Times New Roman" w:cs="Times New Roman"/>
          <w:sz w:val="24"/>
          <w:szCs w:val="24"/>
        </w:rPr>
        <w:t>Other maximum density and or countable conifer definitions that maybe specified in Forest Development Plans or Forest Stewardship Plans.</w:t>
      </w:r>
    </w:p>
    <w:p w:rsidR="003D4541" w:rsidRDefault="003D4541" w:rsidP="003D4541">
      <w:r>
        <w:br w:type="page"/>
      </w:r>
    </w:p>
    <w:p w:rsidR="006764EC" w:rsidRDefault="003D4541" w:rsidP="003D4541">
      <w:pPr>
        <w:pStyle w:val="Heading1"/>
      </w:pPr>
      <w:r>
        <w:t>Scope</w:t>
      </w:r>
      <w:r w:rsidR="006764EC">
        <w:t xml:space="preserve">: </w:t>
      </w:r>
    </w:p>
    <w:p w:rsidR="00B82CF6" w:rsidRDefault="006764EC" w:rsidP="006764EC">
      <w:pPr>
        <w:pStyle w:val="Heading2"/>
      </w:pPr>
      <w:proofErr w:type="gramStart"/>
      <w:r>
        <w:t>Area(</w:t>
      </w:r>
      <w:proofErr w:type="gramEnd"/>
      <w:r>
        <w:t>ha) by District by Density Class harvested post 1987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7"/>
        <w:gridCol w:w="1623"/>
        <w:gridCol w:w="1623"/>
        <w:gridCol w:w="1623"/>
        <w:gridCol w:w="1622"/>
        <w:gridCol w:w="1622"/>
      </w:tblGrid>
      <w:tr w:rsidR="003D4541" w:rsidTr="000F41BC">
        <w:trPr>
          <w:trHeight w:val="306"/>
        </w:trPr>
        <w:tc>
          <w:tcPr>
            <w:tcW w:w="693" w:type="pct"/>
            <w:tcBorders>
              <w:top w:val="nil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0F41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District</w:t>
            </w:r>
          </w:p>
        </w:tc>
        <w:tc>
          <w:tcPr>
            <w:tcW w:w="861" w:type="pct"/>
            <w:tcBorders>
              <w:top w:val="nil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0F41BC" w:rsidP="00B17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&lt;</w:t>
            </w:r>
            <w:r w:rsidR="003D4541">
              <w:rPr>
                <w:rFonts w:ascii="Calibri" w:hAnsi="Calibri" w:cs="Calibri"/>
                <w:b/>
                <w:bCs/>
                <w:color w:val="000000"/>
              </w:rPr>
              <w:t xml:space="preserve"> 10,000 </w:t>
            </w:r>
            <w:proofErr w:type="spellStart"/>
            <w:r w:rsidR="003D4541">
              <w:rPr>
                <w:rFonts w:ascii="Calibri" w:hAnsi="Calibri" w:cs="Calibri"/>
                <w:b/>
                <w:bCs/>
                <w:color w:val="000000"/>
              </w:rPr>
              <w:t>sph</w:t>
            </w:r>
            <w:proofErr w:type="spellEnd"/>
          </w:p>
        </w:tc>
        <w:tc>
          <w:tcPr>
            <w:tcW w:w="861" w:type="pct"/>
            <w:tcBorders>
              <w:top w:val="nil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10,000-24,999</w:t>
            </w:r>
          </w:p>
        </w:tc>
        <w:tc>
          <w:tcPr>
            <w:tcW w:w="861" w:type="pct"/>
            <w:tcBorders>
              <w:top w:val="nil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25,000-49,999</w:t>
            </w:r>
          </w:p>
        </w:tc>
        <w:tc>
          <w:tcPr>
            <w:tcW w:w="861" w:type="pct"/>
            <w:tcBorders>
              <w:top w:val="nil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&gt;=50,000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DCC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300,441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51,838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1,598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248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354,124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DCK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58,714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296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18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59,027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DCR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118,894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1,151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0F41B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F028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120,054 </w:t>
            </w:r>
            <w:bookmarkStart w:id="0" w:name="_GoBack"/>
            <w:bookmarkEnd w:id="0"/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DCS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172,831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5,474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158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99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178,561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DJA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187,003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4,240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5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15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191,262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DKA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238,989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6,399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119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78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245,585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DKM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85,568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4,629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49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90,247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DMH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100,667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6,601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132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107,400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DMK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180,525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3,044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61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57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183,686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DND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227,395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3,033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20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230,448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DNI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139,101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2,384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2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179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141,666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DOS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199,647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9,548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897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175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210,267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DPG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406,402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6,056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21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83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412,562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DQC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41,650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1,689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14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43,353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DQU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264,629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15,545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291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163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280,628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DRM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101,532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4,812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586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130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107,059 </w:t>
            </w:r>
          </w:p>
        </w:tc>
      </w:tr>
      <w:tr w:rsidR="003D4541" w:rsidTr="00B17D15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DSC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49,967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334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4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50,305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DSE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210,154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6,380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76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216,610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DSI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74,181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143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1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74,325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DSQ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17,448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173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  9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17,630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DSS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81,035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1,183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25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               17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  82,260 </w:t>
            </w:r>
          </w:p>
        </w:tc>
      </w:tr>
      <w:tr w:rsidR="003D4541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DVA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197,153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5,836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125 </w:t>
            </w: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6" w:space="0" w:color="0066CC"/>
              <w:left w:val="single" w:sz="6" w:space="0" w:color="0066CC"/>
              <w:bottom w:val="single" w:sz="6" w:space="0" w:color="0066CC"/>
              <w:right w:val="single" w:sz="6" w:space="0" w:color="0066CC"/>
            </w:tcBorders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      203,113 </w:t>
            </w:r>
          </w:p>
        </w:tc>
      </w:tr>
      <w:tr w:rsidR="00B17D15" w:rsidTr="00B17D15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3,453,925 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140,788 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4,209 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                 1,250 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single" w:sz="6" w:space="0" w:color="0066CC"/>
              <w:right w:val="nil"/>
            </w:tcBorders>
            <w:shd w:val="solid" w:color="CCCCFF" w:fill="CCCCFF"/>
          </w:tcPr>
          <w:p w:rsidR="003D4541" w:rsidRDefault="003D4541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  3,600,172 </w:t>
            </w:r>
          </w:p>
        </w:tc>
      </w:tr>
      <w:tr w:rsidR="00B17D15" w:rsidTr="000F41BC">
        <w:trPr>
          <w:trHeight w:val="306"/>
        </w:trPr>
        <w:tc>
          <w:tcPr>
            <w:tcW w:w="693" w:type="pct"/>
            <w:tcBorders>
              <w:top w:val="single" w:sz="6" w:space="0" w:color="0066CC"/>
              <w:left w:val="nil"/>
              <w:bottom w:val="nil"/>
              <w:right w:val="nil"/>
            </w:tcBorders>
            <w:shd w:val="solid" w:color="CCCCFF" w:fill="CCCCFF"/>
          </w:tcPr>
          <w:p w:rsidR="00B17D15" w:rsidRDefault="00B17D1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nil"/>
              <w:right w:val="nil"/>
            </w:tcBorders>
            <w:shd w:val="solid" w:color="CCCCFF" w:fill="CCCCFF"/>
          </w:tcPr>
          <w:p w:rsidR="00B17D15" w:rsidRDefault="00B17D15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95.94%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nil"/>
              <w:right w:val="nil"/>
            </w:tcBorders>
            <w:shd w:val="solid" w:color="CCCCFF" w:fill="CCCCFF"/>
          </w:tcPr>
          <w:p w:rsidR="00B17D15" w:rsidRDefault="00B17D15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3.9%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nil"/>
              <w:right w:val="nil"/>
            </w:tcBorders>
            <w:shd w:val="solid" w:color="CCCCFF" w:fill="CCCCFF"/>
          </w:tcPr>
          <w:p w:rsidR="00B17D15" w:rsidRDefault="00B17D15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0.12%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nil"/>
              <w:right w:val="nil"/>
            </w:tcBorders>
            <w:shd w:val="solid" w:color="CCCCFF" w:fill="CCCCFF"/>
          </w:tcPr>
          <w:p w:rsidR="00B17D15" w:rsidRDefault="00B17D15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003%</w:t>
            </w:r>
          </w:p>
        </w:tc>
        <w:tc>
          <w:tcPr>
            <w:tcW w:w="861" w:type="pct"/>
            <w:tcBorders>
              <w:top w:val="single" w:sz="6" w:space="0" w:color="0066CC"/>
              <w:left w:val="nil"/>
              <w:bottom w:val="nil"/>
              <w:right w:val="nil"/>
            </w:tcBorders>
            <w:shd w:val="solid" w:color="CCCCFF" w:fill="CCCCFF"/>
          </w:tcPr>
          <w:p w:rsidR="00B17D15" w:rsidRDefault="00B17D15" w:rsidP="00B17D1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:rsidR="003D4541" w:rsidRDefault="003D4541" w:rsidP="003D4541"/>
    <w:p w:rsidR="00B17D15" w:rsidRDefault="00B17D15" w:rsidP="003D4541"/>
    <w:p w:rsidR="006764EC" w:rsidRDefault="006764EC" w:rsidP="003D4541"/>
    <w:p w:rsidR="006764EC" w:rsidRDefault="006764EC" w:rsidP="003D4541">
      <w:r>
        <w:rPr>
          <w:noProof/>
          <w:lang w:eastAsia="en-CA"/>
        </w:rPr>
        <w:drawing>
          <wp:inline distT="0" distB="0" distL="0" distR="0" wp14:anchorId="6238D86D" wp14:editId="39D3A6FD">
            <wp:extent cx="5943600" cy="31134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1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4EC" w:rsidRPr="003D4541" w:rsidRDefault="006764EC" w:rsidP="003D4541">
      <w:r>
        <w:t>Figure 1: Amount of area by density class by harvest start year</w:t>
      </w:r>
    </w:p>
    <w:sectPr w:rsidR="006764EC" w:rsidRPr="003D45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FA8" w:rsidRDefault="00087FA8" w:rsidP="00087FA8">
      <w:pPr>
        <w:spacing w:after="0" w:line="240" w:lineRule="auto"/>
      </w:pPr>
      <w:r>
        <w:separator/>
      </w:r>
    </w:p>
  </w:endnote>
  <w:endnote w:type="continuationSeparator" w:id="0">
    <w:p w:rsidR="00087FA8" w:rsidRDefault="00087FA8" w:rsidP="00087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FA8" w:rsidRDefault="00087FA8" w:rsidP="00087FA8">
      <w:pPr>
        <w:spacing w:after="0" w:line="240" w:lineRule="auto"/>
      </w:pPr>
      <w:r>
        <w:separator/>
      </w:r>
    </w:p>
  </w:footnote>
  <w:footnote w:type="continuationSeparator" w:id="0">
    <w:p w:rsidR="00087FA8" w:rsidRDefault="00087FA8" w:rsidP="00087FA8">
      <w:pPr>
        <w:spacing w:after="0" w:line="240" w:lineRule="auto"/>
      </w:pPr>
      <w:r>
        <w:continuationSeparator/>
      </w:r>
    </w:p>
  </w:footnote>
  <w:footnote w:id="1">
    <w:p w:rsidR="00087FA8" w:rsidRDefault="00087FA8">
      <w:pPr>
        <w:pStyle w:val="FootnoteText"/>
      </w:pPr>
      <w:r>
        <w:rPr>
          <w:rStyle w:val="FootnoteReference"/>
        </w:rPr>
        <w:footnoteRef/>
      </w:r>
      <w:r>
        <w:t xml:space="preserve"> From the </w:t>
      </w:r>
      <w:hyperlink r:id="rId1" w:history="1">
        <w:r w:rsidRPr="00087FA8">
          <w:rPr>
            <w:rStyle w:val="Hyperlink"/>
          </w:rPr>
          <w:t>Silviculture survey manual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16769"/>
    <w:multiLevelType w:val="hybridMultilevel"/>
    <w:tmpl w:val="D9E6C6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96862"/>
    <w:multiLevelType w:val="hybridMultilevel"/>
    <w:tmpl w:val="A676AF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8D62A5"/>
    <w:multiLevelType w:val="hybridMultilevel"/>
    <w:tmpl w:val="238E73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74D96"/>
    <w:multiLevelType w:val="hybridMultilevel"/>
    <w:tmpl w:val="27DEC956"/>
    <w:lvl w:ilvl="0" w:tplc="5FC815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6F06FA"/>
    <w:multiLevelType w:val="hybridMultilevel"/>
    <w:tmpl w:val="A0882C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7C0AC8"/>
    <w:multiLevelType w:val="hybridMultilevel"/>
    <w:tmpl w:val="0F1635A6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1FA"/>
    <w:rsid w:val="00087FA8"/>
    <w:rsid w:val="000F41BC"/>
    <w:rsid w:val="00274BE8"/>
    <w:rsid w:val="002B2BAB"/>
    <w:rsid w:val="003D4541"/>
    <w:rsid w:val="00536989"/>
    <w:rsid w:val="006764EC"/>
    <w:rsid w:val="00842ABC"/>
    <w:rsid w:val="008F1462"/>
    <w:rsid w:val="009311FA"/>
    <w:rsid w:val="00B17D15"/>
    <w:rsid w:val="00B82CF6"/>
    <w:rsid w:val="00D26D41"/>
    <w:rsid w:val="00F0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4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4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14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46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F14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14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146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D1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7F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7FA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7FA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87F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4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4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14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46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F14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14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146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D1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7F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7FA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7FA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87F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or.gov.bc.ca/hfp/silviculture/Silviculture%20Survey%20Procedures%20Manual%20201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27BAA-5C2C-4EEC-AD8C-1B044D77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C5FC6DB2</Template>
  <TotalTime>100</TotalTime>
  <Pages>4</Pages>
  <Words>883</Words>
  <Characters>5038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Maximum Density (legal perspective) </vt:lpstr>
      <vt:lpstr>        Forest Practices Code (FPC) era Opening:</vt:lpstr>
      <vt:lpstr>        Forest and Range Practices Act (FRPA) era Opening</vt:lpstr>
      <vt:lpstr>    Countable conifers</vt:lpstr>
      <vt:lpstr>Scope</vt:lpstr>
    </vt:vector>
  </TitlesOfParts>
  <Company>Province of British Columbia</Company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Powelson, Allan FLNR:EX</dc:creator>
  <cp:lastModifiedBy>Powelson, Allan FLNR:EX</cp:lastModifiedBy>
  <cp:revision>4</cp:revision>
  <dcterms:created xsi:type="dcterms:W3CDTF">2015-06-23T21:21:00Z</dcterms:created>
  <dcterms:modified xsi:type="dcterms:W3CDTF">2015-10-19T17:41:00Z</dcterms:modified>
</cp:coreProperties>
</file>